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BAF53" w14:textId="2A8BACBA" w:rsidR="0058717A" w:rsidRDefault="000E0159" w:rsidP="00EA0815">
      <w:pPr>
        <w:pStyle w:val="Nadpis1"/>
        <w:spacing w:before="0"/>
        <w:rPr>
          <w:sz w:val="32"/>
          <w:szCs w:val="32"/>
        </w:rPr>
      </w:pPr>
      <w:r w:rsidRPr="0058717A">
        <w:rPr>
          <w:sz w:val="32"/>
          <w:szCs w:val="32"/>
        </w:rPr>
        <w:t xml:space="preserve">Specifikace předmětu veřejné zakázky </w:t>
      </w:r>
      <w:r w:rsidR="0058717A">
        <w:rPr>
          <w:sz w:val="32"/>
          <w:szCs w:val="32"/>
        </w:rPr>
        <w:t>–</w:t>
      </w:r>
      <w:r w:rsidRPr="0058717A">
        <w:rPr>
          <w:sz w:val="32"/>
          <w:szCs w:val="32"/>
        </w:rPr>
        <w:t xml:space="preserve"> </w:t>
      </w:r>
    </w:p>
    <w:p w14:paraId="7FB7885B" w14:textId="6A27F33F" w:rsidR="00EA0815" w:rsidRPr="0058717A" w:rsidRDefault="000E0159" w:rsidP="00EA0815">
      <w:pPr>
        <w:pStyle w:val="Nadpis1"/>
        <w:spacing w:before="0"/>
        <w:rPr>
          <w:sz w:val="32"/>
          <w:szCs w:val="32"/>
        </w:rPr>
      </w:pPr>
      <w:r w:rsidRPr="0058717A">
        <w:rPr>
          <w:sz w:val="32"/>
          <w:szCs w:val="32"/>
        </w:rPr>
        <w:t>t</w:t>
      </w:r>
      <w:r w:rsidR="00EA0815" w:rsidRPr="0058717A">
        <w:rPr>
          <w:sz w:val="32"/>
          <w:szCs w:val="32"/>
        </w:rPr>
        <w:t>echnické po</w:t>
      </w:r>
      <w:r w:rsidRPr="0058717A">
        <w:rPr>
          <w:sz w:val="32"/>
          <w:szCs w:val="32"/>
        </w:rPr>
        <w:t>dmínky</w:t>
      </w:r>
      <w:r w:rsidR="006C4718" w:rsidRPr="0058717A">
        <w:rPr>
          <w:sz w:val="32"/>
          <w:szCs w:val="32"/>
        </w:rPr>
        <w:t xml:space="preserve"> 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265A4AFE" w14:textId="37C82A89" w:rsidR="003B18FB" w:rsidRPr="0058717A" w:rsidRDefault="00BF02EB" w:rsidP="0058717A">
      <w:pPr>
        <w:pStyle w:val="Odstavecseseznamem"/>
        <w:numPr>
          <w:ilvl w:val="0"/>
          <w:numId w:val="11"/>
        </w:numPr>
        <w:jc w:val="both"/>
        <w:rPr>
          <w:rFonts w:ascii="Verdana" w:hAnsi="Verdana"/>
        </w:rPr>
      </w:pPr>
      <w:r w:rsidRPr="0058717A">
        <w:rPr>
          <w:rFonts w:ascii="Verdana" w:hAnsi="Verdana"/>
        </w:rPr>
        <w:t xml:space="preserve">Základním požadavkem veřejné zakázky: </w:t>
      </w:r>
      <w:r w:rsidRPr="0058717A">
        <w:rPr>
          <w:rFonts w:ascii="Verdana" w:hAnsi="Verdana"/>
          <w:b/>
          <w:bCs/>
        </w:rPr>
        <w:t xml:space="preserve">Stroj pro ořez větví na dvoucestné rypadlo Liebherr 922 </w:t>
      </w:r>
      <w:r w:rsidRPr="0058717A">
        <w:rPr>
          <w:rFonts w:ascii="Verdana" w:hAnsi="Verdana"/>
        </w:rPr>
        <w:t xml:space="preserve">je </w:t>
      </w:r>
      <w:r w:rsidRPr="00DD5117">
        <w:rPr>
          <w:rFonts w:ascii="Verdana" w:hAnsi="Verdana"/>
        </w:rPr>
        <w:t xml:space="preserve">dodávka </w:t>
      </w:r>
      <w:r w:rsidR="003B18FB" w:rsidRPr="00DD5117">
        <w:rPr>
          <w:rFonts w:ascii="Verdana" w:hAnsi="Verdana"/>
        </w:rPr>
        <w:t>hydraulick</w:t>
      </w:r>
      <w:r w:rsidR="0058717A" w:rsidRPr="00DD5117">
        <w:rPr>
          <w:rFonts w:ascii="Verdana" w:hAnsi="Verdana"/>
        </w:rPr>
        <w:t>é</w:t>
      </w:r>
      <w:r w:rsidR="003B18FB" w:rsidRPr="00DD5117">
        <w:rPr>
          <w:rFonts w:ascii="Verdana" w:hAnsi="Verdana"/>
        </w:rPr>
        <w:t xml:space="preserve"> pil</w:t>
      </w:r>
      <w:r w:rsidR="0058717A" w:rsidRPr="00DD5117">
        <w:rPr>
          <w:rFonts w:ascii="Verdana" w:hAnsi="Verdana"/>
        </w:rPr>
        <w:t>y</w:t>
      </w:r>
      <w:r w:rsidR="003B18FB" w:rsidRPr="00DD5117">
        <w:rPr>
          <w:rFonts w:ascii="Verdana" w:hAnsi="Verdana"/>
        </w:rPr>
        <w:t xml:space="preserve"> na</w:t>
      </w:r>
      <w:r w:rsidR="003B18FB" w:rsidRPr="0058717A">
        <w:rPr>
          <w:rFonts w:ascii="Verdana" w:hAnsi="Verdana"/>
        </w:rPr>
        <w:t xml:space="preserve"> ořez větví na dvoucestné rypadlo Liebherr 922 dle níže uvedených parametrů.</w:t>
      </w:r>
    </w:p>
    <w:p w14:paraId="21E002D8" w14:textId="0B61EADF" w:rsidR="000E0159" w:rsidRPr="0058717A" w:rsidRDefault="000E0159" w:rsidP="0058717A">
      <w:pPr>
        <w:pStyle w:val="Odstavecseseznamem"/>
        <w:numPr>
          <w:ilvl w:val="0"/>
          <w:numId w:val="11"/>
        </w:numPr>
        <w:jc w:val="both"/>
        <w:rPr>
          <w:rFonts w:ascii="Verdana" w:hAnsi="Verdana"/>
        </w:rPr>
      </w:pPr>
      <w:r w:rsidRPr="0058717A">
        <w:rPr>
          <w:rFonts w:ascii="Verdana" w:hAnsi="Verdana"/>
        </w:rPr>
        <w:t>Nabízený (dodávaný) stroj pro ořez větví požaduje zadavatel nový a nepoužitý. Nepřipouští se nabídka použitého, případně „předváděcího“ stroje pro ořez větví.</w:t>
      </w:r>
    </w:p>
    <w:p w14:paraId="2DC23D69" w14:textId="77777777" w:rsidR="000E0159" w:rsidRPr="00E95EA4" w:rsidRDefault="000E0159" w:rsidP="000E0159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 xml:space="preserve">2. </w:t>
      </w:r>
      <w:r>
        <w:rPr>
          <w:color w:val="00B0F0"/>
        </w:rPr>
        <w:t>Označení stroje - základní</w:t>
      </w:r>
    </w:p>
    <w:p w14:paraId="79C70F52" w14:textId="1F30D859" w:rsidR="000E0159" w:rsidRPr="000E0159" w:rsidRDefault="000E0159" w:rsidP="000E0159">
      <w:pPr>
        <w:pStyle w:val="Odstavecseseznamem"/>
        <w:numPr>
          <w:ilvl w:val="0"/>
          <w:numId w:val="10"/>
        </w:numPr>
        <w:jc w:val="both"/>
      </w:pPr>
      <w:r w:rsidRPr="00DA4596">
        <w:t xml:space="preserve">1x </w:t>
      </w:r>
      <w:r>
        <w:t>ks hydraulické pily pro ořez větví na dvoucestné rypadlo Li</w:t>
      </w:r>
      <w:r w:rsidR="000F2005">
        <w:t>e</w:t>
      </w:r>
      <w:r>
        <w:t>bherr 922</w:t>
      </w:r>
      <w:r w:rsidR="004408EE">
        <w:t xml:space="preserve"> včetně požadovaného příslušenství</w:t>
      </w:r>
    </w:p>
    <w:p w14:paraId="73C3DDB6" w14:textId="3BBC26FF" w:rsidR="005702D6" w:rsidRPr="00154815" w:rsidRDefault="0008575D" w:rsidP="005702D6">
      <w:pPr>
        <w:pStyle w:val="Nadpis2"/>
        <w:spacing w:before="0"/>
      </w:pPr>
      <w:r>
        <w:t xml:space="preserve">3. Požadovaná </w:t>
      </w:r>
      <w:r w:rsidRPr="00154815">
        <w:t xml:space="preserve">dokumentace a </w:t>
      </w:r>
      <w:r w:rsidR="005702D6" w:rsidRPr="00154815">
        <w:t>služby</w:t>
      </w:r>
      <w:r w:rsidRPr="00154815">
        <w:t xml:space="preserve"> po dobu záruční lhůty</w:t>
      </w:r>
    </w:p>
    <w:p w14:paraId="3C1D9683" w14:textId="626959B8" w:rsidR="005702D6" w:rsidRDefault="005702D6" w:rsidP="005702D6">
      <w:pPr>
        <w:pStyle w:val="Odstavecseseznamem"/>
        <w:numPr>
          <w:ilvl w:val="0"/>
          <w:numId w:val="12"/>
        </w:numPr>
      </w:pPr>
      <w:r w:rsidRPr="00154815">
        <w:t>Dodací list</w:t>
      </w:r>
      <w:r w:rsidR="00306842" w:rsidRPr="00154815">
        <w:t xml:space="preserve"> a</w:t>
      </w:r>
      <w:r w:rsidR="001B1147" w:rsidRPr="00154815">
        <w:t xml:space="preserve"> </w:t>
      </w:r>
      <w:r w:rsidR="000A290F" w:rsidRPr="00154815">
        <w:t xml:space="preserve">záruční list </w:t>
      </w:r>
      <w:r w:rsidR="00A9655D">
        <w:t>předmětu koupě</w:t>
      </w:r>
    </w:p>
    <w:p w14:paraId="0339D055" w14:textId="77777777" w:rsidR="0058717A" w:rsidRDefault="0058717A" w:rsidP="0058717A">
      <w:pPr>
        <w:pStyle w:val="Odstavecseseznamem"/>
        <w:numPr>
          <w:ilvl w:val="0"/>
          <w:numId w:val="12"/>
        </w:numPr>
      </w:pPr>
      <w:r w:rsidRPr="00E1776D">
        <w:t>Prohlášení o shodě dodan</w:t>
      </w:r>
      <w:r>
        <w:t>ého</w:t>
      </w:r>
      <w:r w:rsidRPr="00E1776D">
        <w:t xml:space="preserve"> výrobku</w:t>
      </w:r>
    </w:p>
    <w:p w14:paraId="5624021F" w14:textId="60BA9CEA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Návod k</w:t>
      </w:r>
      <w:r w:rsidR="00306842" w:rsidRPr="00154815">
        <w:t> použití,</w:t>
      </w:r>
      <w:r w:rsidR="001B1147" w:rsidRPr="00154815">
        <w:t xml:space="preserve"> údržbě a</w:t>
      </w:r>
      <w:r w:rsidR="000A290F" w:rsidRPr="00154815">
        <w:t xml:space="preserve"> obsluze</w:t>
      </w:r>
      <w:r w:rsidR="001B1147" w:rsidRPr="00154815">
        <w:t xml:space="preserve"> </w:t>
      </w:r>
      <w:r w:rsidR="003B6755" w:rsidRPr="00154815">
        <w:t xml:space="preserve">zařízení </w:t>
      </w:r>
      <w:r w:rsidR="00D6071C" w:rsidRPr="00154815">
        <w:t>v českém jazyce</w:t>
      </w:r>
    </w:p>
    <w:p w14:paraId="2B4FBD26" w14:textId="32B68D99" w:rsidR="003B6755" w:rsidRPr="005D0274" w:rsidRDefault="003B6755" w:rsidP="003B6755">
      <w:pPr>
        <w:pStyle w:val="Odstavecseseznamem"/>
        <w:numPr>
          <w:ilvl w:val="0"/>
          <w:numId w:val="12"/>
        </w:numPr>
      </w:pPr>
      <w:r w:rsidRPr="005D0274">
        <w:t xml:space="preserve">Zaškolení obsluhy pro bezpečnou obsluhu a údržbu výrobku </w:t>
      </w:r>
      <w:r w:rsidR="00C136EB">
        <w:t>v</w:t>
      </w:r>
      <w:r w:rsidR="000F2005">
        <w:t> místě dodání</w:t>
      </w:r>
      <w:r w:rsidR="00C136EB">
        <w:t xml:space="preserve"> v den předání</w:t>
      </w:r>
    </w:p>
    <w:p w14:paraId="1080D77C" w14:textId="3402468E" w:rsidR="003B6755" w:rsidRDefault="003B6755" w:rsidP="003B6755">
      <w:pPr>
        <w:pStyle w:val="Odstavecseseznamem"/>
        <w:numPr>
          <w:ilvl w:val="0"/>
          <w:numId w:val="12"/>
        </w:numPr>
      </w:pPr>
      <w:r w:rsidRPr="00154815">
        <w:t xml:space="preserve">Dodavatel uvede v nabídce (v níže připojené tabulce této přílohy) adresu </w:t>
      </w:r>
      <w:r w:rsidR="00154815" w:rsidRPr="003B18FB">
        <w:t>autorizovaného</w:t>
      </w:r>
      <w:r w:rsidR="00154815" w:rsidRPr="00154815">
        <w:t xml:space="preserve"> </w:t>
      </w:r>
      <w:r w:rsidRPr="00154815">
        <w:t>servisního střediska</w:t>
      </w:r>
      <w:r w:rsidR="00222156">
        <w:t xml:space="preserve"> (adresa bude korespondovat s adresou uvedenou v Kupní smlouvě odst. 7.</w:t>
      </w:r>
      <w:r w:rsidR="008E3AAE">
        <w:t>6</w:t>
      </w:r>
      <w:r w:rsidR="00222156">
        <w:t>)</w:t>
      </w:r>
      <w:r w:rsidRPr="00154815">
        <w:t>.</w:t>
      </w:r>
    </w:p>
    <w:p w14:paraId="2069E6A4" w14:textId="34692C0E" w:rsidR="00324295" w:rsidRDefault="002F52DB" w:rsidP="003B18FB">
      <w:pPr>
        <w:pStyle w:val="Nadpis2"/>
      </w:pPr>
      <w:r>
        <w:t xml:space="preserve">4. </w:t>
      </w:r>
      <w:r w:rsidR="000E0159">
        <w:t>Technická specifikace, pokyny k vyplnění</w:t>
      </w:r>
    </w:p>
    <w:p w14:paraId="58DCB81D" w14:textId="77777777" w:rsidR="0058717A" w:rsidRPr="00C233B5" w:rsidRDefault="0058717A" w:rsidP="0058717A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stroje (výrobku).</w:t>
      </w:r>
    </w:p>
    <w:p w14:paraId="26900F9F" w14:textId="18A98459" w:rsidR="0058717A" w:rsidRPr="00C233B5" w:rsidRDefault="0058717A" w:rsidP="0058717A">
      <w:pPr>
        <w:pStyle w:val="Odstavecseseznamem"/>
        <w:numPr>
          <w:ilvl w:val="0"/>
          <w:numId w:val="13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</w:p>
    <w:p w14:paraId="784700D4" w14:textId="7FB40D7E" w:rsidR="000E0159" w:rsidRPr="008C6DE2" w:rsidRDefault="0058717A" w:rsidP="0058717A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</w:t>
      </w:r>
      <w:r w:rsidR="000E0159" w:rsidRPr="00C233B5">
        <w:t>.</w:t>
      </w:r>
    </w:p>
    <w:p w14:paraId="12FE5EF7" w14:textId="77777777" w:rsidR="000E0159" w:rsidRDefault="000E0159" w:rsidP="000E0159"/>
    <w:p w14:paraId="26537588" w14:textId="77777777" w:rsidR="000E0159" w:rsidRDefault="000E0159" w:rsidP="000E0159"/>
    <w:p w14:paraId="0D036FBA" w14:textId="77777777" w:rsidR="000F2005" w:rsidRDefault="000F2005" w:rsidP="000E0159"/>
    <w:p w14:paraId="0F8B3450" w14:textId="77777777" w:rsidR="000F2005" w:rsidRDefault="000F2005" w:rsidP="000E0159"/>
    <w:p w14:paraId="6168B5DF" w14:textId="77777777" w:rsidR="000E0159" w:rsidRPr="000E0159" w:rsidRDefault="000E0159" w:rsidP="000E0159"/>
    <w:tbl>
      <w:tblPr>
        <w:tblW w:w="9640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727"/>
        <w:gridCol w:w="2951"/>
      </w:tblGrid>
      <w:tr w:rsidR="00B51DB2" w:rsidRPr="00B51DB2" w14:paraId="1D369A5A" w14:textId="77777777" w:rsidTr="000E0159">
        <w:trPr>
          <w:trHeight w:val="1488"/>
        </w:trPr>
        <w:tc>
          <w:tcPr>
            <w:tcW w:w="496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1BDC923E" w14:textId="1EF7B763" w:rsidR="003B18FB" w:rsidRPr="0058717A" w:rsidRDefault="0058717A" w:rsidP="003B18FB">
            <w:pPr>
              <w:jc w:val="center"/>
              <w:rPr>
                <w:rFonts w:ascii="Verdana" w:hAnsi="Verdana"/>
                <w:b/>
                <w:bCs/>
                <w:caps/>
                <w:color w:val="FFFFFF"/>
              </w:rPr>
            </w:pPr>
            <w:r w:rsidRPr="0058717A">
              <w:rPr>
                <w:rFonts w:ascii="Verdana" w:hAnsi="Verdana"/>
                <w:b/>
                <w:bCs/>
                <w:caps/>
                <w:color w:val="FFFFFF"/>
              </w:rPr>
              <w:lastRenderedPageBreak/>
              <w:t>S</w:t>
            </w:r>
            <w:r w:rsidR="003B18FB" w:rsidRPr="0058717A">
              <w:rPr>
                <w:rFonts w:ascii="Verdana" w:hAnsi="Verdana"/>
                <w:b/>
                <w:bCs/>
                <w:caps/>
                <w:color w:val="FFFFFF"/>
              </w:rPr>
              <w:t>troj pro ořez větví na dvoucestné rypadlo Liebherr 922</w:t>
            </w:r>
          </w:p>
          <w:p w14:paraId="343C6CDA" w14:textId="1F35B014" w:rsidR="00B51DB2" w:rsidRPr="003B18FB" w:rsidRDefault="00B51DB2" w:rsidP="006C4718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</w:p>
        </w:tc>
        <w:tc>
          <w:tcPr>
            <w:tcW w:w="1727" w:type="dxa"/>
            <w:tcBorders>
              <w:top w:val="single" w:sz="8" w:space="0" w:color="BFBFBF"/>
              <w:left w:val="nil"/>
              <w:bottom w:val="single" w:sz="4" w:space="0" w:color="auto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0D28C8FB" w14:textId="784196CA" w:rsidR="00B51DB2" w:rsidRPr="00B51DB2" w:rsidRDefault="0058717A" w:rsidP="00B51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9015D">
              <w:rPr>
                <w:rFonts w:eastAsia="Times New Roman" w:cs="Times New Roman"/>
                <w:b/>
                <w:bCs/>
                <w:color w:val="FFFFFF"/>
                <w:lang w:eastAsia="cs-CZ"/>
              </w:rPr>
              <w:t>POŽADOVANÉ PARAMETRY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295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1850477E" w14:textId="77777777" w:rsidR="0058717A" w:rsidRDefault="0058717A" w:rsidP="005871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70B2FA3B" w14:textId="5AD371A2" w:rsidR="00B51DB2" w:rsidRPr="00B51DB2" w:rsidRDefault="0058717A" w:rsidP="00587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B51DB2" w:rsidRPr="00B51DB2" w14:paraId="013612B4" w14:textId="77777777" w:rsidTr="00E00CFC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BFBFBF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14:paraId="52CC3E58" w14:textId="7064DBDF" w:rsidR="00B51DB2" w:rsidRPr="00B51DB2" w:rsidRDefault="00B51DB2" w:rsidP="002221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58717A">
              <w:rPr>
                <w:rFonts w:ascii="Verdana" w:hAnsi="Verdana"/>
                <w:b/>
                <w:bCs/>
              </w:rPr>
              <w:t>NABÍZEN</w:t>
            </w:r>
            <w:r w:rsidR="000E0159" w:rsidRPr="0058717A">
              <w:rPr>
                <w:rFonts w:ascii="Verdana" w:hAnsi="Verdana"/>
                <w:b/>
                <w:bCs/>
              </w:rPr>
              <w:t>Ý STROJ</w:t>
            </w:r>
            <w:r w:rsidR="000E0159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0053CB" w:rsidRPr="000053CB">
              <w:rPr>
                <w:rFonts w:ascii="Verdana" w:hAnsi="Verdana"/>
                <w:b/>
                <w:bCs/>
              </w:rPr>
              <w:t>(model /typ):</w:t>
            </w:r>
            <w:r w:rsidR="00836712" w:rsidRPr="000053CB">
              <w:rPr>
                <w:rFonts w:ascii="Verdana" w:hAnsi="Verdana"/>
                <w:b/>
                <w:bCs/>
              </w:rPr>
              <w:t> </w:t>
            </w:r>
            <w:r w:rsidR="00836712" w:rsidRPr="000053C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309" w14:textId="0A705711" w:rsidR="00B51DB2" w:rsidRPr="00B51DB2" w:rsidRDefault="000053CB" w:rsidP="00B51D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  <w:r w:rsidR="00B51DB2"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  <w:t>-</w:t>
            </w:r>
          </w:p>
        </w:tc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BFBFBF"/>
            </w:tcBorders>
            <w:shd w:val="clear" w:color="000000" w:fill="FF6600"/>
            <w:vAlign w:val="center"/>
            <w:hideMark/>
          </w:tcPr>
          <w:p w14:paraId="5F95644F" w14:textId="61473A13" w:rsidR="00B51DB2" w:rsidRPr="000053CB" w:rsidRDefault="00836712" w:rsidP="00B51D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highlight w:val="yellow"/>
                <w:lang w:eastAsia="cs-CZ"/>
              </w:rPr>
            </w:pPr>
            <w:r w:rsidRPr="000053CB">
              <w:rPr>
                <w:rFonts w:ascii="Verdana" w:hAnsi="Verdana"/>
                <w:b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7E95B545" w14:textId="77777777" w:rsidTr="00DD5117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46D4" w14:textId="3F3DE6C0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Zařízení je kompatibilní s dvoucestným rýpadlem Liebherr A 922.1509 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F8C7" w14:textId="200BF4D1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F1AD65" w14:textId="7F2614BF" w:rsidR="003B18FB" w:rsidRPr="00D31880" w:rsidRDefault="003B18FB" w:rsidP="003B18FB">
            <w:pPr>
              <w:tabs>
                <w:tab w:val="left" w:pos="841"/>
              </w:tabs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083A6353" w14:textId="77777777" w:rsidTr="00DD5117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1BC1" w14:textId="1CEA5885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Hydraulický pohon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8AC3" w14:textId="0C9DB7BD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5D0803B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713137E6" w14:textId="5BC8EA4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6DAAACD6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AB3F" w14:textId="2E05255C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Pracovní šířka, záběr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805A" w14:textId="3A1AFEB1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190 - 200 cm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8B1F8B6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179FEF43" w14:textId="46F539AA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12734456" w14:textId="77777777" w:rsidTr="000E0159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833B" w14:textId="6C5D790B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Přepravní šířka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4115" w14:textId="38A99A2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Max. 230 cm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53D180ED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35658385" w14:textId="053B6D01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0FE3C821" w14:textId="77777777" w:rsidTr="000E0159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4180" w14:textId="7717CF7C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Hmotnost bez nosiče a upínací desky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B66D" w14:textId="5D8B9971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Max. 220 kg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60C00A7E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06052EDF" w14:textId="133B307E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044843DE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466C" w14:textId="2CDBA971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Schopnost ořezu větví do průměru 16 cm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6C0F" w14:textId="4F8A64A2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8D98722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02795897" w14:textId="1A8FC732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26D8DDA5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592A" w14:textId="5C017498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Maximální pracovní rychlost nosiče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95F7" w14:textId="0B4379DD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5 km/h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C4CD6F5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5C0AD6A2" w14:textId="0F4E5CDA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7753BB48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D6C9" w14:textId="1E0A897A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Minimální průtok hydraulického oleje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C0AE" w14:textId="36A6D30D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Min. 50 l/min. při 180 Bar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F0ADA50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6E8B76A6" w14:textId="649F519D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4FDB61DB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B875" w14:textId="276EB1DD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Hydraulické nastavení řezného úhlu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51BA" w14:textId="38FB634E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5788FF9E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26FCEB4B" w14:textId="0458A39A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023E4D37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EA16" w14:textId="086D4DDB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Provedení koncového řezacího nástroje – pilový kotouč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0FC7" w14:textId="1F1D690D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64F8C395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5A943190" w14:textId="1FD5B7CC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06BFF224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AEA4" w14:textId="002523C1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Upínací adaptér Liebherr </w:t>
            </w:r>
            <w:proofErr w:type="spellStart"/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Likufix</w:t>
            </w:r>
            <w:proofErr w:type="spellEnd"/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 SW33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A96A" w14:textId="4653D6AA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4D2B0732" w14:textId="17D13553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602C82C3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D9AD" w14:textId="1EEE9806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Zařízení je vhodné do železničního provozu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7926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3B9B7F74" w14:textId="77777777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2F97733C" w14:textId="124D53FB" w:rsidR="003B18FB" w:rsidRPr="00D31880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3B18FB" w:rsidRPr="00B51DB2" w14:paraId="53679848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A708" w14:textId="3B6DBA69" w:rsidR="003B18FB" w:rsidRPr="00D31880" w:rsidRDefault="003B18FB" w:rsidP="003B18FB">
            <w:pPr>
              <w:spacing w:after="0" w:line="240" w:lineRule="auto"/>
              <w:rPr>
                <w:rFonts w:ascii="Verdana" w:eastAsia="Times New Roman" w:hAnsi="Verdana" w:cs="Times New Roman"/>
                <w:color w:val="00B05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color w:val="00B050"/>
                <w:lang w:eastAsia="cs-CZ"/>
              </w:rPr>
              <w:t xml:space="preserve">Příslušenství </w:t>
            </w:r>
            <w:r w:rsidR="00DD5117">
              <w:rPr>
                <w:rFonts w:ascii="Verdana" w:eastAsia="Times New Roman" w:hAnsi="Verdana" w:cs="Times New Roman"/>
                <w:color w:val="00B050"/>
                <w:lang w:eastAsia="cs-CZ"/>
              </w:rPr>
              <w:t>a ostatní technické parametry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C5D5" w14:textId="77777777" w:rsidR="003B18FB" w:rsidRPr="00B51DB2" w:rsidRDefault="003B18FB" w:rsidP="003B18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51DB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22653BF" w14:textId="5D5E092D" w:rsidR="003B18FB" w:rsidRPr="000053CB" w:rsidRDefault="003B18FB" w:rsidP="003B18F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F40D70" w:rsidRPr="00B51DB2" w14:paraId="3F0C46F0" w14:textId="77777777" w:rsidTr="000053C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F073" w14:textId="2FE87F1D" w:rsidR="00F40D70" w:rsidRPr="00D31880" w:rsidRDefault="00F40D70" w:rsidP="00F40D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Pracovní kapalina </w:t>
            </w:r>
            <w:proofErr w:type="spellStart"/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hydr</w:t>
            </w:r>
            <w:proofErr w:type="spellEnd"/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. olej HLP</w:t>
            </w:r>
            <w:r w:rsidR="00E0712B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5400" w14:textId="136B508B" w:rsidR="00F40D70" w:rsidRPr="00D31880" w:rsidRDefault="00F40D70" w:rsidP="00F40D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lang w:eastAsia="cs-CZ"/>
              </w:rPr>
              <w:t>40 L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5BEE79B0" w14:textId="77777777" w:rsidR="00F40D70" w:rsidRPr="00D31880" w:rsidRDefault="00F40D70" w:rsidP="00F40D70">
            <w:pPr>
              <w:spacing w:after="0" w:line="240" w:lineRule="auto"/>
              <w:jc w:val="center"/>
              <w:rPr>
                <w:rFonts w:ascii="Verdana" w:hAnsi="Verdana"/>
                <w:bCs/>
                <w:highlight w:val="yellow"/>
              </w:rPr>
            </w:pPr>
          </w:p>
          <w:p w14:paraId="5695773D" w14:textId="5D3F2EAD" w:rsidR="00F40D70" w:rsidRPr="00D31880" w:rsidRDefault="00F40D70" w:rsidP="00F40D70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D31880">
              <w:rPr>
                <w:rFonts w:ascii="Verdana" w:hAnsi="Verdana"/>
                <w:bCs/>
                <w:highlight w:val="yellow"/>
              </w:rPr>
              <w:t>"[VLOŽÍ PRODÁVAJÍCÍ]" </w:t>
            </w:r>
          </w:p>
        </w:tc>
      </w:tr>
      <w:tr w:rsidR="00F40D70" w:rsidRPr="00B51DB2" w14:paraId="01541F6E" w14:textId="77777777" w:rsidTr="000053CB">
        <w:trPr>
          <w:trHeight w:val="11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90F0" w14:textId="7BDA2FC6" w:rsidR="00F40D70" w:rsidRPr="00D31880" w:rsidRDefault="00F40D70" w:rsidP="00F40D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Součástí konstrukce je odkládací rám pro bezpečné uložení zařízení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1556" w14:textId="641ABE0A" w:rsidR="00F40D70" w:rsidRPr="00B51DB2" w:rsidRDefault="00F40D70" w:rsidP="00F40D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84572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8C4BBF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5729F731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668E6F63" w14:textId="4B42A7BE" w:rsidR="00F40D70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  <w:r w:rsidRPr="00D31880">
              <w:rPr>
                <w:rFonts w:ascii="Verdana" w:hAnsi="Verdana"/>
                <w:highlight w:val="yellow"/>
              </w:rPr>
              <w:t>"[VLOŽÍ PRODÁVAJÍCÍ]" </w:t>
            </w:r>
          </w:p>
        </w:tc>
      </w:tr>
      <w:tr w:rsidR="00F40D70" w:rsidRPr="00B51DB2" w14:paraId="5E528E13" w14:textId="77777777" w:rsidTr="000053CB">
        <w:trPr>
          <w:trHeight w:val="11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45F5" w14:textId="7C67AF9E" w:rsidR="00F40D70" w:rsidRPr="00D31880" w:rsidRDefault="00F40D70" w:rsidP="00F40D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Ochrana zařízení proti poškození při nadměrném zatížení vychýlením sekacího ramene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BB79" w14:textId="70F96397" w:rsidR="00F40D70" w:rsidRPr="00B51DB2" w:rsidRDefault="00F40D70" w:rsidP="00F40D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84572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13820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42F59B48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0001C0EA" w14:textId="4BF2F6DF" w:rsidR="00F40D70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  <w:r w:rsidRPr="00D31880">
              <w:rPr>
                <w:rFonts w:ascii="Verdana" w:hAnsi="Verdana"/>
                <w:highlight w:val="yellow"/>
              </w:rPr>
              <w:t>"[VLOŽÍ PRODÁVAJÍCÍ]" </w:t>
            </w:r>
          </w:p>
        </w:tc>
      </w:tr>
      <w:tr w:rsidR="00F40D70" w:rsidRPr="00B51DB2" w14:paraId="6EE27864" w14:textId="77777777" w:rsidTr="000053CB">
        <w:trPr>
          <w:trHeight w:val="11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ED9E" w14:textId="30C947CC" w:rsidR="00F40D70" w:rsidRPr="00D31880" w:rsidRDefault="00F40D70" w:rsidP="00F40D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Při práci je kabina ve směru jízdy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9E71" w14:textId="2A6E8F85" w:rsidR="00F40D70" w:rsidRPr="00B51DB2" w:rsidRDefault="00F40D70" w:rsidP="00F40D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84572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A9516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3A2F0069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3CED18F0" w14:textId="30C61561" w:rsidR="00F40D70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  <w:r w:rsidRPr="00D31880">
              <w:rPr>
                <w:rFonts w:ascii="Verdana" w:hAnsi="Verdana"/>
                <w:highlight w:val="yellow"/>
              </w:rPr>
              <w:t>"[VLOŽÍ PRODÁVAJÍCÍ]" </w:t>
            </w:r>
          </w:p>
        </w:tc>
      </w:tr>
      <w:tr w:rsidR="00F40D70" w:rsidRPr="00B51DB2" w14:paraId="6E7F21A6" w14:textId="77777777" w:rsidTr="000053CB">
        <w:trPr>
          <w:trHeight w:val="11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98D1" w14:textId="1E3ABD11" w:rsidR="00F40D70" w:rsidRPr="00D31880" w:rsidRDefault="00F40D70" w:rsidP="00F40D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lastRenderedPageBreak/>
              <w:t>Nosič pily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45CA" w14:textId="44D8E428" w:rsidR="00F40D70" w:rsidRPr="00D31880" w:rsidRDefault="00F40D70" w:rsidP="00F40D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1 ks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6D1FB1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76B52A54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11185B9C" w14:textId="7F659294" w:rsidR="00F40D70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  <w:r w:rsidRPr="00D31880">
              <w:rPr>
                <w:rFonts w:ascii="Verdana" w:hAnsi="Verdana"/>
                <w:highlight w:val="yellow"/>
              </w:rPr>
              <w:t>"[VLOŽÍ PRODÁVAJÍCÍ]" </w:t>
            </w:r>
          </w:p>
        </w:tc>
      </w:tr>
      <w:tr w:rsidR="00F40D70" w:rsidRPr="00B51DB2" w14:paraId="12C85B8C" w14:textId="77777777" w:rsidTr="000053CB">
        <w:trPr>
          <w:trHeight w:val="11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CD75" w14:textId="2B6CD877" w:rsidR="00F40D70" w:rsidRPr="00D31880" w:rsidRDefault="00F40D70" w:rsidP="00F40D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Upínací adaptér LIEBHERR </w:t>
            </w:r>
            <w:proofErr w:type="spellStart"/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Likufix</w:t>
            </w:r>
            <w:proofErr w:type="spellEnd"/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 SW33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029B" w14:textId="4FB5AACC" w:rsidR="00F40D70" w:rsidRPr="00D31880" w:rsidRDefault="00F40D70" w:rsidP="00F40D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D3188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1 ks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B2E71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6A05651A" w14:textId="77777777" w:rsidR="00E938DC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02C9CCF4" w14:textId="12E1584E" w:rsidR="00F40D70" w:rsidRPr="00D31880" w:rsidRDefault="00E938DC" w:rsidP="00F40D70">
            <w:pPr>
              <w:spacing w:after="0" w:line="240" w:lineRule="auto"/>
              <w:jc w:val="center"/>
              <w:rPr>
                <w:rFonts w:ascii="Verdana" w:hAnsi="Verdana"/>
                <w:highlight w:val="yellow"/>
              </w:rPr>
            </w:pPr>
            <w:r w:rsidRPr="00D31880">
              <w:rPr>
                <w:rFonts w:ascii="Verdana" w:hAnsi="Verdana"/>
                <w:highlight w:val="yellow"/>
              </w:rPr>
              <w:t>"[VLOŽÍ PRODÁVAJÍCÍ]" </w:t>
            </w:r>
          </w:p>
        </w:tc>
      </w:tr>
    </w:tbl>
    <w:p w14:paraId="3D229FBB" w14:textId="77777777" w:rsidR="00324295" w:rsidRDefault="00324295" w:rsidP="00EB2B45">
      <w:pPr>
        <w:jc w:val="both"/>
        <w:rPr>
          <w:b/>
        </w:rPr>
      </w:pPr>
    </w:p>
    <w:sectPr w:rsidR="00324295" w:rsidSect="00FA5C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17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1B71B" w14:textId="77777777" w:rsidR="00FA5CE4" w:rsidRDefault="00FA5CE4" w:rsidP="00962258">
      <w:pPr>
        <w:spacing w:after="0" w:line="240" w:lineRule="auto"/>
      </w:pPr>
      <w:r>
        <w:separator/>
      </w:r>
    </w:p>
  </w:endnote>
  <w:endnote w:type="continuationSeparator" w:id="0">
    <w:p w14:paraId="7BC94418" w14:textId="77777777" w:rsidR="00FA5CE4" w:rsidRDefault="00FA5C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696F0DA9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D232C7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51E8FF6C" w14:textId="77777777" w:rsidR="00D6071C" w:rsidRDefault="00D75081" w:rsidP="005A4944">
          <w:pPr>
            <w:pStyle w:val="Zpat"/>
          </w:pPr>
          <w:r>
            <w:t>Oblastní ředitelství Ostrava</w:t>
          </w:r>
        </w:p>
        <w:p w14:paraId="04634507" w14:textId="77777777" w:rsidR="00D75081" w:rsidRDefault="00D75081" w:rsidP="005A4944">
          <w:pPr>
            <w:pStyle w:val="Zpat"/>
          </w:pPr>
          <w:r>
            <w:t>Muglinovská 1038/5</w:t>
          </w:r>
        </w:p>
        <w:p w14:paraId="6A94EB48" w14:textId="43A5DE1F" w:rsidR="00D75081" w:rsidRDefault="00D75081" w:rsidP="005A4944">
          <w:pPr>
            <w:pStyle w:val="Zpat"/>
          </w:pPr>
          <w:r>
            <w:t>702 00 Ostrava</w:t>
          </w: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DF98B" w14:textId="77777777" w:rsidR="00FA5CE4" w:rsidRDefault="00FA5CE4" w:rsidP="00962258">
      <w:pPr>
        <w:spacing w:after="0" w:line="240" w:lineRule="auto"/>
      </w:pPr>
      <w:r>
        <w:separator/>
      </w:r>
    </w:p>
  </w:footnote>
  <w:footnote w:type="continuationSeparator" w:id="0">
    <w:p w14:paraId="59CC1C31" w14:textId="77777777" w:rsidR="00FA5CE4" w:rsidRDefault="00FA5C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5416CF">
      <w:trPr>
        <w:trHeight w:hRule="exact" w:val="1165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6E5A0F" w14:textId="0B14BD3F" w:rsidR="00B53BFB" w:rsidRDefault="00B53BFB" w:rsidP="00B53BFB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Příloha 1</w:t>
          </w:r>
          <w:r w:rsidR="000053CB"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</w:t>
          </w:r>
          <w:r w:rsidR="00FC6A10">
            <w:rPr>
              <w:rFonts w:eastAsia="Calibri" w:cstheme="minorHAnsi"/>
              <w:b w:val="0"/>
              <w:color w:val="auto"/>
              <w:sz w:val="18"/>
              <w:szCs w:val="18"/>
            </w:rPr>
            <w:t>Dílu 3 Zadávací dokumentace</w:t>
          </w: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:</w:t>
          </w:r>
          <w:r w:rsidRPr="00A31950">
            <w:rPr>
              <w:b w:val="0"/>
              <w:color w:val="auto"/>
              <w:sz w:val="18"/>
              <w:szCs w:val="18"/>
            </w:rPr>
            <w:t xml:space="preserve">              </w:t>
          </w:r>
        </w:p>
        <w:p w14:paraId="11067464" w14:textId="7A31B914" w:rsidR="005416CF" w:rsidRPr="000053CB" w:rsidRDefault="000053CB" w:rsidP="0058717A">
          <w:pPr>
            <w:pStyle w:val="Druhdokumentu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 xml:space="preserve">    </w:t>
          </w:r>
          <w:r w:rsidR="00B53BFB">
            <w:rPr>
              <w:b w:val="0"/>
              <w:color w:val="auto"/>
              <w:sz w:val="18"/>
              <w:szCs w:val="18"/>
            </w:rPr>
            <w:t xml:space="preserve">Specifikace předmětu veřejné zakázky </w:t>
          </w:r>
          <w:r w:rsidR="0058717A">
            <w:rPr>
              <w:b w:val="0"/>
              <w:color w:val="auto"/>
              <w:sz w:val="18"/>
              <w:szCs w:val="18"/>
            </w:rPr>
            <w:t>–</w:t>
          </w:r>
          <w:r w:rsidR="00B53BFB">
            <w:rPr>
              <w:b w:val="0"/>
              <w:color w:val="auto"/>
              <w:sz w:val="18"/>
              <w:szCs w:val="18"/>
            </w:rPr>
            <w:t xml:space="preserve"> </w:t>
          </w:r>
          <w:r w:rsidR="0058717A">
            <w:rPr>
              <w:b w:val="0"/>
              <w:color w:val="auto"/>
              <w:sz w:val="18"/>
              <w:szCs w:val="18"/>
            </w:rPr>
            <w:t>t</w:t>
          </w:r>
          <w:r w:rsidR="00B53BFB" w:rsidRPr="0058717A">
            <w:rPr>
              <w:b w:val="0"/>
              <w:color w:val="auto"/>
              <w:sz w:val="18"/>
              <w:szCs w:val="18"/>
            </w:rPr>
            <w:t>echnické</w:t>
          </w:r>
          <w:r w:rsidR="0058717A">
            <w:rPr>
              <w:b w:val="0"/>
              <w:color w:val="auto"/>
              <w:sz w:val="18"/>
              <w:szCs w:val="18"/>
            </w:rPr>
            <w:t xml:space="preserve"> podmínky</w:t>
          </w:r>
        </w:p>
        <w:p w14:paraId="39CB7B31" w14:textId="75FEE2E9" w:rsidR="005416CF" w:rsidRPr="002A6AEA" w:rsidRDefault="005416CF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7E8F"/>
    <w:multiLevelType w:val="hybridMultilevel"/>
    <w:tmpl w:val="DC18372E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F06324"/>
    <w:multiLevelType w:val="hybridMultilevel"/>
    <w:tmpl w:val="53E4B45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05A5F"/>
    <w:multiLevelType w:val="multilevel"/>
    <w:tmpl w:val="0D34D660"/>
    <w:numStyleLink w:val="ListBulletmultilevel"/>
  </w:abstractNum>
  <w:abstractNum w:abstractNumId="8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F1F035A"/>
    <w:multiLevelType w:val="hybridMultilevel"/>
    <w:tmpl w:val="7C207D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 w16cid:durableId="274412819">
    <w:abstractNumId w:val="5"/>
  </w:num>
  <w:num w:numId="2" w16cid:durableId="696152691">
    <w:abstractNumId w:val="1"/>
  </w:num>
  <w:num w:numId="3" w16cid:durableId="1510635098">
    <w:abstractNumId w:val="16"/>
  </w:num>
  <w:num w:numId="4" w16cid:durableId="1093431326">
    <w:abstractNumId w:val="7"/>
  </w:num>
  <w:num w:numId="5" w16cid:durableId="404034358">
    <w:abstractNumId w:val="13"/>
  </w:num>
  <w:num w:numId="6" w16cid:durableId="624578309">
    <w:abstractNumId w:val="8"/>
  </w:num>
  <w:num w:numId="7" w16cid:durableId="353382513">
    <w:abstractNumId w:val="10"/>
  </w:num>
  <w:num w:numId="8" w16cid:durableId="1067994707">
    <w:abstractNumId w:val="6"/>
  </w:num>
  <w:num w:numId="9" w16cid:durableId="699359359">
    <w:abstractNumId w:val="14"/>
  </w:num>
  <w:num w:numId="10" w16cid:durableId="1771974644">
    <w:abstractNumId w:val="2"/>
  </w:num>
  <w:num w:numId="11" w16cid:durableId="1402026615">
    <w:abstractNumId w:val="4"/>
  </w:num>
  <w:num w:numId="12" w16cid:durableId="685982580">
    <w:abstractNumId w:val="15"/>
  </w:num>
  <w:num w:numId="13" w16cid:durableId="1349407130">
    <w:abstractNumId w:val="11"/>
  </w:num>
  <w:num w:numId="14" w16cid:durableId="536743506">
    <w:abstractNumId w:val="9"/>
  </w:num>
  <w:num w:numId="15" w16cid:durableId="797600401">
    <w:abstractNumId w:val="0"/>
  </w:num>
  <w:num w:numId="16" w16cid:durableId="1794207029">
    <w:abstractNumId w:val="3"/>
  </w:num>
  <w:num w:numId="17" w16cid:durableId="40221918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053CB"/>
    <w:rsid w:val="0001380D"/>
    <w:rsid w:val="00017526"/>
    <w:rsid w:val="00021F90"/>
    <w:rsid w:val="00022A86"/>
    <w:rsid w:val="00047CB8"/>
    <w:rsid w:val="00051AD7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D3E31"/>
    <w:rsid w:val="000E0159"/>
    <w:rsid w:val="000F2005"/>
    <w:rsid w:val="000F41C7"/>
    <w:rsid w:val="0010281E"/>
    <w:rsid w:val="00114472"/>
    <w:rsid w:val="001150F2"/>
    <w:rsid w:val="00152480"/>
    <w:rsid w:val="00154815"/>
    <w:rsid w:val="00170EC5"/>
    <w:rsid w:val="00172B3C"/>
    <w:rsid w:val="001747C1"/>
    <w:rsid w:val="00186692"/>
    <w:rsid w:val="00190B15"/>
    <w:rsid w:val="001A55B1"/>
    <w:rsid w:val="001B1147"/>
    <w:rsid w:val="001B24E5"/>
    <w:rsid w:val="001B49EB"/>
    <w:rsid w:val="001B4E74"/>
    <w:rsid w:val="001B62C2"/>
    <w:rsid w:val="001C4DF0"/>
    <w:rsid w:val="001D66BD"/>
    <w:rsid w:val="00201F23"/>
    <w:rsid w:val="00207DF5"/>
    <w:rsid w:val="00222156"/>
    <w:rsid w:val="0024023A"/>
    <w:rsid w:val="00242B9F"/>
    <w:rsid w:val="00255DB8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0CCA"/>
    <w:rsid w:val="003B0071"/>
    <w:rsid w:val="003B18FB"/>
    <w:rsid w:val="003B6755"/>
    <w:rsid w:val="003B6BBD"/>
    <w:rsid w:val="003C180B"/>
    <w:rsid w:val="003D134E"/>
    <w:rsid w:val="003D3353"/>
    <w:rsid w:val="003E0DDA"/>
    <w:rsid w:val="003E4A4C"/>
    <w:rsid w:val="0040211C"/>
    <w:rsid w:val="00413E5D"/>
    <w:rsid w:val="00437FFE"/>
    <w:rsid w:val="004408EE"/>
    <w:rsid w:val="00450F07"/>
    <w:rsid w:val="004539D0"/>
    <w:rsid w:val="00453CD3"/>
    <w:rsid w:val="00460660"/>
    <w:rsid w:val="00486107"/>
    <w:rsid w:val="00491827"/>
    <w:rsid w:val="004A2927"/>
    <w:rsid w:val="004A4E18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16CF"/>
    <w:rsid w:val="0054439F"/>
    <w:rsid w:val="00553375"/>
    <w:rsid w:val="00560DC2"/>
    <w:rsid w:val="00561C46"/>
    <w:rsid w:val="00562CC0"/>
    <w:rsid w:val="005702D6"/>
    <w:rsid w:val="005736B7"/>
    <w:rsid w:val="00575E5A"/>
    <w:rsid w:val="00582AFA"/>
    <w:rsid w:val="005866EC"/>
    <w:rsid w:val="0058717A"/>
    <w:rsid w:val="0059674A"/>
    <w:rsid w:val="005A4944"/>
    <w:rsid w:val="005D0274"/>
    <w:rsid w:val="005E24FC"/>
    <w:rsid w:val="005F13BD"/>
    <w:rsid w:val="006017FB"/>
    <w:rsid w:val="00607F15"/>
    <w:rsid w:val="0061068E"/>
    <w:rsid w:val="00612482"/>
    <w:rsid w:val="00613A7F"/>
    <w:rsid w:val="00624873"/>
    <w:rsid w:val="00624945"/>
    <w:rsid w:val="00632045"/>
    <w:rsid w:val="00633799"/>
    <w:rsid w:val="00636285"/>
    <w:rsid w:val="006411CB"/>
    <w:rsid w:val="006465D6"/>
    <w:rsid w:val="00651339"/>
    <w:rsid w:val="00660AD3"/>
    <w:rsid w:val="006626CF"/>
    <w:rsid w:val="0069668E"/>
    <w:rsid w:val="006A5570"/>
    <w:rsid w:val="006A689C"/>
    <w:rsid w:val="006B3D79"/>
    <w:rsid w:val="006C04E1"/>
    <w:rsid w:val="006C4718"/>
    <w:rsid w:val="006E0578"/>
    <w:rsid w:val="006E314D"/>
    <w:rsid w:val="006F1A41"/>
    <w:rsid w:val="00710723"/>
    <w:rsid w:val="0071113A"/>
    <w:rsid w:val="00720768"/>
    <w:rsid w:val="00723ED1"/>
    <w:rsid w:val="0072469F"/>
    <w:rsid w:val="00742F51"/>
    <w:rsid w:val="00743525"/>
    <w:rsid w:val="007530A7"/>
    <w:rsid w:val="00756436"/>
    <w:rsid w:val="0076286B"/>
    <w:rsid w:val="00766846"/>
    <w:rsid w:val="0077673A"/>
    <w:rsid w:val="007846E1"/>
    <w:rsid w:val="007853DE"/>
    <w:rsid w:val="007A4A7E"/>
    <w:rsid w:val="007A7E54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136B6"/>
    <w:rsid w:val="008201C7"/>
    <w:rsid w:val="008254BC"/>
    <w:rsid w:val="008272EC"/>
    <w:rsid w:val="00836712"/>
    <w:rsid w:val="00852279"/>
    <w:rsid w:val="00852590"/>
    <w:rsid w:val="00852BCD"/>
    <w:rsid w:val="00856E91"/>
    <w:rsid w:val="00857257"/>
    <w:rsid w:val="0086615B"/>
    <w:rsid w:val="00873F17"/>
    <w:rsid w:val="008740BD"/>
    <w:rsid w:val="00883E4D"/>
    <w:rsid w:val="00891E7D"/>
    <w:rsid w:val="00894C02"/>
    <w:rsid w:val="00895BBB"/>
    <w:rsid w:val="008A3568"/>
    <w:rsid w:val="008B7C89"/>
    <w:rsid w:val="008D03B9"/>
    <w:rsid w:val="008D457A"/>
    <w:rsid w:val="008E3AAE"/>
    <w:rsid w:val="008F18D6"/>
    <w:rsid w:val="008F5B7A"/>
    <w:rsid w:val="00904780"/>
    <w:rsid w:val="00922385"/>
    <w:rsid w:val="009223DF"/>
    <w:rsid w:val="00936091"/>
    <w:rsid w:val="009369A0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E5F33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55D"/>
    <w:rsid w:val="00A96A59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26908"/>
    <w:rsid w:val="00B34153"/>
    <w:rsid w:val="00B34218"/>
    <w:rsid w:val="00B36812"/>
    <w:rsid w:val="00B51DB2"/>
    <w:rsid w:val="00B53BFB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02EB"/>
    <w:rsid w:val="00BF4756"/>
    <w:rsid w:val="00C02D0A"/>
    <w:rsid w:val="00C03A6E"/>
    <w:rsid w:val="00C03DAD"/>
    <w:rsid w:val="00C136EB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31880"/>
    <w:rsid w:val="00D4108E"/>
    <w:rsid w:val="00D6071C"/>
    <w:rsid w:val="00D6163D"/>
    <w:rsid w:val="00D64AC7"/>
    <w:rsid w:val="00D70D53"/>
    <w:rsid w:val="00D75081"/>
    <w:rsid w:val="00D775C0"/>
    <w:rsid w:val="00D831A3"/>
    <w:rsid w:val="00D855E8"/>
    <w:rsid w:val="00D943CD"/>
    <w:rsid w:val="00D96037"/>
    <w:rsid w:val="00DA2D31"/>
    <w:rsid w:val="00DA3711"/>
    <w:rsid w:val="00DD1211"/>
    <w:rsid w:val="00DD28CC"/>
    <w:rsid w:val="00DD46F3"/>
    <w:rsid w:val="00DD5117"/>
    <w:rsid w:val="00DE56F2"/>
    <w:rsid w:val="00DE68D5"/>
    <w:rsid w:val="00DE7960"/>
    <w:rsid w:val="00DF116D"/>
    <w:rsid w:val="00DF1887"/>
    <w:rsid w:val="00E00CFC"/>
    <w:rsid w:val="00E01D20"/>
    <w:rsid w:val="00E03B54"/>
    <w:rsid w:val="00E0712B"/>
    <w:rsid w:val="00E1013A"/>
    <w:rsid w:val="00E1528E"/>
    <w:rsid w:val="00E218B5"/>
    <w:rsid w:val="00E50D63"/>
    <w:rsid w:val="00E762E9"/>
    <w:rsid w:val="00E938DC"/>
    <w:rsid w:val="00EA0815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0C50"/>
    <w:rsid w:val="00F40D70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A5CE4"/>
    <w:rsid w:val="00FB6342"/>
    <w:rsid w:val="00FC6389"/>
    <w:rsid w:val="00FC6A10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B2DDB-D691-4668-A4EA-915A70CD3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176</TotalTime>
  <Pages>3</Pages>
  <Words>451</Words>
  <Characters>2667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28</cp:revision>
  <cp:lastPrinted>2021-04-30T10:23:00Z</cp:lastPrinted>
  <dcterms:created xsi:type="dcterms:W3CDTF">2024-03-11T06:29:00Z</dcterms:created>
  <dcterms:modified xsi:type="dcterms:W3CDTF">2024-04-08T10:19:00Z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